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29EAF" w14:textId="77777777" w:rsidR="00C243A3" w:rsidRDefault="00E35ECD" w:rsidP="00C243A3">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C243A3" w:rsidRPr="00C243A3">
        <w:rPr>
          <w:rFonts w:ascii="Arial" w:hAnsi="Arial" w:cs="Arial"/>
          <w:b/>
          <w:bCs/>
          <w:sz w:val="28"/>
        </w:rPr>
        <w:t>R1-166283</w:t>
      </w:r>
    </w:p>
    <w:p w14:paraId="6CC50448" w14:textId="3D5E7092" w:rsidR="00E35ECD" w:rsidRDefault="00E35ECD" w:rsidP="00C243A3">
      <w:pPr>
        <w:tabs>
          <w:tab w:val="center" w:pos="4536"/>
          <w:tab w:val="right" w:pos="8280"/>
          <w:tab w:val="right" w:pos="9781"/>
        </w:tabs>
        <w:ind w:right="-58"/>
        <w:rPr>
          <w:rFonts w:ascii="Arial" w:hAnsi="Arial" w:cs="Arial"/>
          <w:b/>
          <w:bCs/>
          <w:sz w:val="28"/>
        </w:rPr>
      </w:pPr>
      <w:bookmarkStart w:id="2" w:name="_GoBack"/>
      <w:bookmarkEnd w:id="2"/>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5D4229FA" w14:textId="77777777" w:rsidR="00E35ECD" w:rsidRPr="000F29F8" w:rsidRDefault="00E35ECD" w:rsidP="00E35ECD">
      <w:pPr>
        <w:widowControl/>
        <w:tabs>
          <w:tab w:val="right" w:pos="9630"/>
        </w:tabs>
        <w:wordWrap/>
        <w:autoSpaceDE/>
        <w:autoSpaceDN/>
        <w:jc w:val="left"/>
        <w:rPr>
          <w:rFonts w:ascii="Arial" w:eastAsia="SimSun" w:hAnsi="Arial" w:cs="Arial"/>
          <w:b/>
          <w:kern w:val="0"/>
          <w:sz w:val="24"/>
          <w:lang w:eastAsia="en-US"/>
        </w:rPr>
      </w:pPr>
    </w:p>
    <w:p w14:paraId="4E514458" w14:textId="521BF833" w:rsidR="00E35ECD" w:rsidRPr="000F29F8" w:rsidRDefault="00E35ECD" w:rsidP="00E35ECD">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7.2.6.3</w:t>
      </w:r>
    </w:p>
    <w:p w14:paraId="1EB7CCB9" w14:textId="77777777" w:rsidR="00E35ECD" w:rsidRPr="001903B5" w:rsidRDefault="00E35ECD" w:rsidP="00E35ECD">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0C358624" w14:textId="375B1C95" w:rsidR="00E35ECD" w:rsidRPr="00B50B9E" w:rsidRDefault="00E35ECD" w:rsidP="00E35ECD">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Pr="00E35ECD">
        <w:rPr>
          <w:rFonts w:ascii="Arial" w:hAnsi="Arial" w:cs="Arial"/>
          <w:snapToGrid w:val="0"/>
          <w:sz w:val="24"/>
        </w:rPr>
        <w:t xml:space="preserve">MBSFN </w:t>
      </w:r>
      <w:proofErr w:type="spellStart"/>
      <w:r w:rsidRPr="00E35ECD">
        <w:rPr>
          <w:rFonts w:ascii="Arial" w:hAnsi="Arial" w:cs="Arial"/>
          <w:snapToGrid w:val="0"/>
          <w:sz w:val="24"/>
        </w:rPr>
        <w:t>subframes</w:t>
      </w:r>
      <w:proofErr w:type="spellEnd"/>
      <w:r w:rsidRPr="00E35ECD">
        <w:rPr>
          <w:rFonts w:ascii="Arial" w:hAnsi="Arial" w:cs="Arial"/>
          <w:snapToGrid w:val="0"/>
          <w:sz w:val="24"/>
        </w:rPr>
        <w:t xml:space="preserve"> without a unicast control region and cell-specific reference signals</w:t>
      </w:r>
    </w:p>
    <w:p w14:paraId="7C67B7A4" w14:textId="77777777" w:rsidR="00E35ECD" w:rsidRPr="000F29F8" w:rsidRDefault="00E35ECD" w:rsidP="00E35ECD">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38CBFD88"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the support of </w:t>
      </w:r>
      <w:r w:rsidR="00CC3148">
        <w:rPr>
          <w:rFonts w:ascii="Times New Roman"/>
          <w:snapToGrid w:val="0"/>
          <w:kern w:val="0"/>
          <w:sz w:val="22"/>
          <w:szCs w:val="22"/>
          <w:lang w:val="en-GB"/>
        </w:rPr>
        <w:t xml:space="preserve">longer </w:t>
      </w:r>
      <w:r w:rsidR="004B5820">
        <w:rPr>
          <w:rFonts w:ascii="Times New Roman"/>
          <w:snapToGrid w:val="0"/>
          <w:kern w:val="0"/>
          <w:sz w:val="22"/>
          <w:szCs w:val="22"/>
          <w:lang w:val="en-GB"/>
        </w:rPr>
        <w:t xml:space="preserve">MBSFN </w:t>
      </w:r>
      <w:proofErr w:type="spellStart"/>
      <w:r w:rsidR="004B5820">
        <w:rPr>
          <w:rFonts w:ascii="Times New Roman"/>
          <w:snapToGrid w:val="0"/>
          <w:kern w:val="0"/>
          <w:sz w:val="22"/>
          <w:szCs w:val="22"/>
          <w:lang w:val="en-GB"/>
        </w:rPr>
        <w:t>subframes</w:t>
      </w:r>
      <w:proofErr w:type="spellEnd"/>
      <w:r w:rsidR="004B5820">
        <w:rPr>
          <w:rFonts w:ascii="Times New Roman"/>
          <w:snapToGrid w:val="0"/>
          <w:kern w:val="0"/>
          <w:sz w:val="22"/>
          <w:szCs w:val="22"/>
          <w:lang w:val="en-GB"/>
        </w:rPr>
        <w:t xml:space="preserve"> without unicast control region and cell-specific reference signals</w:t>
      </w:r>
      <w:r w:rsidR="00D16725">
        <w:rPr>
          <w:rFonts w:ascii="Times New Roman"/>
          <w:snapToGrid w:val="0"/>
          <w:kern w:val="0"/>
          <w:sz w:val="22"/>
          <w:szCs w:val="22"/>
          <w:lang w:val="en-GB"/>
        </w:rPr>
        <w:t>.</w:t>
      </w:r>
    </w:p>
    <w:bookmarkEnd w:id="0"/>
    <w:bookmarkEnd w:id="1"/>
    <w:p w14:paraId="0307A6C6" w14:textId="77777777" w:rsidR="004B5820" w:rsidRPr="00597774" w:rsidRDefault="004B5820" w:rsidP="004B5820">
      <w:pPr>
        <w:pStyle w:val="LGTdoc1"/>
        <w:spacing w:beforeLines="0" w:before="120" w:after="220" w:afterAutospacing="0"/>
        <w:rPr>
          <w:b w:val="0"/>
          <w:sz w:val="22"/>
          <w:szCs w:val="22"/>
        </w:rPr>
      </w:pPr>
    </w:p>
    <w:p w14:paraId="5795A743" w14:textId="120BA5D2" w:rsidR="004B5820" w:rsidRDefault="004B5820" w:rsidP="004B5820">
      <w:pPr>
        <w:pStyle w:val="LGTdoc1"/>
        <w:numPr>
          <w:ilvl w:val="0"/>
          <w:numId w:val="3"/>
        </w:numPr>
        <w:spacing w:beforeLines="0" w:before="120" w:after="220" w:afterAutospacing="0"/>
        <w:rPr>
          <w:rFonts w:ascii="Arial" w:hAnsi="Arial" w:cs="Arial"/>
          <w:lang w:val="en-US"/>
        </w:rPr>
      </w:pPr>
      <w:r>
        <w:rPr>
          <w:rFonts w:ascii="Arial" w:hAnsi="Arial" w:cs="Arial"/>
          <w:lang w:val="en-US"/>
        </w:rPr>
        <w:t>Signaling details of presence of control region</w:t>
      </w:r>
    </w:p>
    <w:p w14:paraId="4B1BF457" w14:textId="44F60DED" w:rsidR="004B5820" w:rsidRDefault="004B5820" w:rsidP="00597774">
      <w:pPr>
        <w:pStyle w:val="LGTdoc1"/>
        <w:spacing w:beforeLines="0" w:before="120" w:after="220" w:afterAutospacing="0"/>
        <w:rPr>
          <w:b w:val="0"/>
          <w:sz w:val="22"/>
          <w:szCs w:val="22"/>
        </w:rPr>
      </w:pPr>
      <w:r>
        <w:rPr>
          <w:b w:val="0"/>
          <w:sz w:val="22"/>
          <w:szCs w:val="22"/>
        </w:rPr>
        <w:t xml:space="preserve">Similarly to the MBSFN definition, we can include additional signalling to indicate the presence or absence of control region in a given </w:t>
      </w:r>
      <w:proofErr w:type="spellStart"/>
      <w:r>
        <w:rPr>
          <w:b w:val="0"/>
          <w:sz w:val="22"/>
          <w:szCs w:val="22"/>
        </w:rPr>
        <w:t>subframe</w:t>
      </w:r>
      <w:proofErr w:type="spellEnd"/>
      <w:r>
        <w:rPr>
          <w:b w:val="0"/>
          <w:sz w:val="22"/>
          <w:szCs w:val="22"/>
        </w:rPr>
        <w:t xml:space="preserve">. With this, for a given </w:t>
      </w:r>
      <w:proofErr w:type="spellStart"/>
      <w:r>
        <w:rPr>
          <w:b w:val="0"/>
          <w:sz w:val="22"/>
          <w:szCs w:val="22"/>
        </w:rPr>
        <w:t>subframe</w:t>
      </w:r>
      <w:proofErr w:type="spellEnd"/>
      <w:r>
        <w:rPr>
          <w:b w:val="0"/>
          <w:sz w:val="22"/>
          <w:szCs w:val="22"/>
        </w:rPr>
        <w:t>, we have the following possibilities:</w:t>
      </w:r>
    </w:p>
    <w:p w14:paraId="70CB5E85" w14:textId="72E9470C" w:rsidR="004B5820" w:rsidRDefault="004B5820" w:rsidP="004B5820">
      <w:pPr>
        <w:pStyle w:val="LGTdoc1"/>
        <w:numPr>
          <w:ilvl w:val="0"/>
          <w:numId w:val="48"/>
        </w:numPr>
        <w:spacing w:beforeLines="0" w:before="120" w:after="220" w:afterAutospacing="0"/>
        <w:rPr>
          <w:b w:val="0"/>
          <w:sz w:val="22"/>
          <w:szCs w:val="22"/>
        </w:rPr>
      </w:pPr>
      <w:r>
        <w:rPr>
          <w:b w:val="0"/>
          <w:sz w:val="22"/>
          <w:szCs w:val="22"/>
        </w:rPr>
        <w:t xml:space="preserve">Normal </w:t>
      </w:r>
      <w:proofErr w:type="spellStart"/>
      <w:r>
        <w:rPr>
          <w:b w:val="0"/>
          <w:sz w:val="22"/>
          <w:szCs w:val="22"/>
        </w:rPr>
        <w:t>subframe</w:t>
      </w:r>
      <w:proofErr w:type="spellEnd"/>
      <w:r>
        <w:rPr>
          <w:b w:val="0"/>
          <w:sz w:val="22"/>
          <w:szCs w:val="22"/>
        </w:rPr>
        <w:t xml:space="preserve">, control region is </w:t>
      </w:r>
      <w:r w:rsidR="00BF0A94">
        <w:rPr>
          <w:b w:val="0"/>
          <w:sz w:val="22"/>
          <w:szCs w:val="22"/>
        </w:rPr>
        <w:t>present</w:t>
      </w:r>
    </w:p>
    <w:p w14:paraId="0F156E40" w14:textId="1CCC8660" w:rsidR="004B5820" w:rsidRDefault="004B5820" w:rsidP="004B5820">
      <w:pPr>
        <w:pStyle w:val="LGTdoc1"/>
        <w:numPr>
          <w:ilvl w:val="0"/>
          <w:numId w:val="48"/>
        </w:numPr>
        <w:spacing w:beforeLines="0" w:before="120" w:after="220" w:afterAutospacing="0"/>
        <w:rPr>
          <w:b w:val="0"/>
          <w:sz w:val="22"/>
          <w:szCs w:val="22"/>
        </w:rPr>
      </w:pPr>
      <w:r>
        <w:rPr>
          <w:b w:val="0"/>
          <w:sz w:val="22"/>
          <w:szCs w:val="22"/>
        </w:rPr>
        <w:t xml:space="preserve">MBSFN </w:t>
      </w:r>
      <w:proofErr w:type="spellStart"/>
      <w:r>
        <w:rPr>
          <w:b w:val="0"/>
          <w:sz w:val="22"/>
          <w:szCs w:val="22"/>
        </w:rPr>
        <w:t>subframe</w:t>
      </w:r>
      <w:proofErr w:type="spellEnd"/>
      <w:r>
        <w:rPr>
          <w:b w:val="0"/>
          <w:sz w:val="22"/>
          <w:szCs w:val="22"/>
        </w:rPr>
        <w:t>, control region is present</w:t>
      </w:r>
    </w:p>
    <w:p w14:paraId="374C5105" w14:textId="45C4D1A1" w:rsidR="004B5820" w:rsidRPr="004B5820" w:rsidRDefault="004B5820" w:rsidP="00320ADD">
      <w:pPr>
        <w:pStyle w:val="LGTdoc1"/>
        <w:numPr>
          <w:ilvl w:val="0"/>
          <w:numId w:val="48"/>
        </w:numPr>
        <w:spacing w:beforeLines="0" w:before="120" w:after="220" w:afterAutospacing="0"/>
        <w:rPr>
          <w:b w:val="0"/>
          <w:sz w:val="22"/>
          <w:szCs w:val="22"/>
        </w:rPr>
      </w:pPr>
      <w:r w:rsidRPr="004B5820">
        <w:rPr>
          <w:b w:val="0"/>
          <w:sz w:val="22"/>
          <w:szCs w:val="22"/>
        </w:rPr>
        <w:t xml:space="preserve">MBSFN </w:t>
      </w:r>
      <w:proofErr w:type="spellStart"/>
      <w:r w:rsidRPr="004B5820">
        <w:rPr>
          <w:b w:val="0"/>
          <w:sz w:val="22"/>
          <w:szCs w:val="22"/>
        </w:rPr>
        <w:t>subframe</w:t>
      </w:r>
      <w:proofErr w:type="spellEnd"/>
      <w:r w:rsidRPr="004B5820">
        <w:rPr>
          <w:b w:val="0"/>
          <w:sz w:val="22"/>
          <w:szCs w:val="22"/>
        </w:rPr>
        <w:t>, control region is not present</w:t>
      </w:r>
    </w:p>
    <w:p w14:paraId="709AD6A3" w14:textId="54D9ACB5" w:rsidR="004B5820" w:rsidRDefault="00E35ECD" w:rsidP="00E35ECD">
      <w:pPr>
        <w:pStyle w:val="LGTdoc1"/>
        <w:spacing w:beforeLines="0" w:before="120" w:after="220" w:afterAutospacing="0"/>
        <w:rPr>
          <w:b w:val="0"/>
          <w:sz w:val="22"/>
          <w:szCs w:val="22"/>
        </w:rPr>
      </w:pPr>
      <w:r>
        <w:rPr>
          <w:b w:val="0"/>
          <w:sz w:val="22"/>
          <w:szCs w:val="22"/>
        </w:rPr>
        <w:t xml:space="preserve">In general, there is no need to allow for flexibility to signal ON/OFF in every single </w:t>
      </w:r>
      <w:proofErr w:type="spellStart"/>
      <w:r>
        <w:rPr>
          <w:b w:val="0"/>
          <w:sz w:val="22"/>
          <w:szCs w:val="22"/>
        </w:rPr>
        <w:t>subframe</w:t>
      </w:r>
      <w:proofErr w:type="spellEnd"/>
      <w:r>
        <w:rPr>
          <w:b w:val="0"/>
          <w:sz w:val="22"/>
          <w:szCs w:val="22"/>
        </w:rPr>
        <w:t xml:space="preserve">, since in most cases it is only interesting to turn on/off the control region in all the MBSFN </w:t>
      </w:r>
      <w:proofErr w:type="spellStart"/>
      <w:r>
        <w:rPr>
          <w:b w:val="0"/>
          <w:sz w:val="22"/>
          <w:szCs w:val="22"/>
        </w:rPr>
        <w:t>subframes</w:t>
      </w:r>
      <w:proofErr w:type="spellEnd"/>
      <w:r>
        <w:rPr>
          <w:b w:val="0"/>
          <w:sz w:val="22"/>
          <w:szCs w:val="22"/>
        </w:rPr>
        <w:t xml:space="preserve">. For example, if a cell is operated with increased number of MBSFN </w:t>
      </w:r>
      <w:proofErr w:type="spellStart"/>
      <w:r>
        <w:rPr>
          <w:b w:val="0"/>
          <w:sz w:val="22"/>
          <w:szCs w:val="22"/>
        </w:rPr>
        <w:t>subframes</w:t>
      </w:r>
      <w:proofErr w:type="spellEnd"/>
      <w:r>
        <w:rPr>
          <w:b w:val="0"/>
          <w:sz w:val="22"/>
          <w:szCs w:val="22"/>
        </w:rPr>
        <w:t xml:space="preserve"> and/or without control region, it can be cross-carrier scheduled from the </w:t>
      </w:r>
      <w:proofErr w:type="spellStart"/>
      <w:r>
        <w:rPr>
          <w:b w:val="0"/>
          <w:sz w:val="22"/>
          <w:szCs w:val="22"/>
        </w:rPr>
        <w:t>PCell</w:t>
      </w:r>
      <w:proofErr w:type="spellEnd"/>
      <w:r>
        <w:rPr>
          <w:b w:val="0"/>
          <w:sz w:val="22"/>
          <w:szCs w:val="22"/>
        </w:rPr>
        <w:t xml:space="preserve">, if desired. Thus, we propose to signal with a single bit the presence or absence of control region in MBSFN </w:t>
      </w:r>
      <w:proofErr w:type="spellStart"/>
      <w:r>
        <w:rPr>
          <w:b w:val="0"/>
          <w:sz w:val="22"/>
          <w:szCs w:val="22"/>
        </w:rPr>
        <w:t>subframes</w:t>
      </w:r>
      <w:proofErr w:type="spellEnd"/>
    </w:p>
    <w:p w14:paraId="689EC330" w14:textId="357ABEA1" w:rsidR="004B5820" w:rsidRPr="004B5820" w:rsidRDefault="004B5820" w:rsidP="00597774">
      <w:pPr>
        <w:pStyle w:val="LGTdoc1"/>
        <w:spacing w:beforeLines="0" w:before="120" w:after="220" w:afterAutospacing="0"/>
        <w:rPr>
          <w:sz w:val="22"/>
          <w:szCs w:val="22"/>
        </w:rPr>
      </w:pPr>
      <w:r w:rsidRPr="004B5820">
        <w:rPr>
          <w:sz w:val="22"/>
          <w:szCs w:val="22"/>
          <w:u w:val="single"/>
        </w:rPr>
        <w:t xml:space="preserve">Proposal 1: </w:t>
      </w:r>
      <w:r w:rsidR="00E35ECD">
        <w:rPr>
          <w:sz w:val="22"/>
          <w:szCs w:val="22"/>
        </w:rPr>
        <w:t xml:space="preserve">A single bit is used to signal the presence or absence of control region in all the MBSFN </w:t>
      </w:r>
      <w:proofErr w:type="spellStart"/>
      <w:r w:rsidR="00E35ECD">
        <w:rPr>
          <w:sz w:val="22"/>
          <w:szCs w:val="22"/>
        </w:rPr>
        <w:t>subframes</w:t>
      </w:r>
      <w:proofErr w:type="spellEnd"/>
      <w:r w:rsidR="00E35ECD">
        <w:rPr>
          <w:sz w:val="22"/>
          <w:szCs w:val="22"/>
        </w:rPr>
        <w:t xml:space="preserve"> in a carrier.</w:t>
      </w:r>
    </w:p>
    <w:p w14:paraId="7590358D" w14:textId="449DBC2E" w:rsidR="002B7F75" w:rsidRDefault="002B7F75" w:rsidP="004B582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Interaction</w:t>
      </w:r>
      <w:r w:rsidR="004B5820">
        <w:rPr>
          <w:rFonts w:ascii="Arial" w:hAnsi="Arial" w:cs="Arial"/>
          <w:lang w:val="en-US"/>
        </w:rPr>
        <w:t xml:space="preserve"> of longer CP</w:t>
      </w:r>
      <w:r>
        <w:rPr>
          <w:rFonts w:ascii="Arial" w:hAnsi="Arial" w:cs="Arial"/>
          <w:lang w:val="en-US"/>
        </w:rPr>
        <w:t xml:space="preserve"> with control region</w:t>
      </w:r>
    </w:p>
    <w:p w14:paraId="7D545842" w14:textId="59466293" w:rsidR="00AC1A31" w:rsidRDefault="00AC1A31" w:rsidP="00AC1A31">
      <w:pPr>
        <w:pStyle w:val="LGTdoc1"/>
        <w:spacing w:beforeLines="0" w:before="120" w:after="220" w:afterAutospacing="0"/>
        <w:rPr>
          <w:b w:val="0"/>
          <w:sz w:val="22"/>
          <w:szCs w:val="22"/>
        </w:rPr>
      </w:pPr>
      <w:r>
        <w:rPr>
          <w:b w:val="0"/>
          <w:sz w:val="22"/>
          <w:szCs w:val="22"/>
        </w:rPr>
        <w:t>In current LTE specification the MBSFN numerology is defined regardless of the presence of control symbols. If the control region and MBSFN numerologies are different, then there is a fraction of the transmitted waveform that is not defined by the specification. This approach is not efficient anymore if we want to support longer CP.</w:t>
      </w:r>
      <w:r w:rsidR="00DA0154">
        <w:rPr>
          <w:b w:val="0"/>
          <w:sz w:val="22"/>
          <w:szCs w:val="22"/>
        </w:rPr>
        <w:t xml:space="preserve"> </w:t>
      </w:r>
    </w:p>
    <w:p w14:paraId="4D7F2FB3" w14:textId="1DC2DAFA" w:rsidR="00AE22BC" w:rsidRDefault="00AE22BC" w:rsidP="00AC1A31">
      <w:pPr>
        <w:pStyle w:val="LGTdoc1"/>
        <w:spacing w:beforeLines="0" w:before="120" w:after="220" w:afterAutospacing="0"/>
        <w:rPr>
          <w:b w:val="0"/>
          <w:sz w:val="22"/>
          <w:szCs w:val="22"/>
        </w:rPr>
      </w:pPr>
      <w:r>
        <w:rPr>
          <w:b w:val="0"/>
          <w:sz w:val="22"/>
          <w:szCs w:val="22"/>
        </w:rPr>
        <w:t xml:space="preserve">In the case with 1 control symbol, for example, the </w:t>
      </w:r>
      <w:r w:rsidR="00DA0154">
        <w:rPr>
          <w:b w:val="0"/>
          <w:sz w:val="22"/>
          <w:szCs w:val="22"/>
        </w:rPr>
        <w:t>basic 200us</w:t>
      </w:r>
      <w:r>
        <w:rPr>
          <w:b w:val="0"/>
          <w:sz w:val="22"/>
          <w:szCs w:val="22"/>
        </w:rPr>
        <w:t xml:space="preserve"> numerology</w:t>
      </w:r>
      <w:r w:rsidR="00DA0154">
        <w:rPr>
          <w:b w:val="0"/>
          <w:sz w:val="22"/>
          <w:szCs w:val="22"/>
        </w:rPr>
        <w:t xml:space="preserve"> without CP</w:t>
      </w:r>
      <w:r>
        <w:rPr>
          <w:b w:val="0"/>
          <w:sz w:val="22"/>
          <w:szCs w:val="22"/>
        </w:rPr>
        <w:t xml:space="preserve"> can be replaced by a 200us numerology where the CP is punctured by the control region. The specification should allow for this type of operation (e.g. p</w:t>
      </w:r>
      <w:r w:rsidR="00CF632E">
        <w:rPr>
          <w:b w:val="0"/>
          <w:sz w:val="22"/>
          <w:szCs w:val="22"/>
        </w:rPr>
        <w:t>uncturing) for the new CP sizes if a legacy control region is needed.</w:t>
      </w:r>
    </w:p>
    <w:p w14:paraId="22D5416F" w14:textId="59F55F6B" w:rsidR="00C244E4" w:rsidRDefault="00DA0154" w:rsidP="00F853C4">
      <w:pPr>
        <w:pStyle w:val="Caption"/>
        <w:jc w:val="center"/>
        <w:rPr>
          <w:b w:val="0"/>
          <w:sz w:val="22"/>
          <w:szCs w:val="22"/>
        </w:rPr>
      </w:pPr>
      <w:r>
        <w:rPr>
          <w:b w:val="0"/>
          <w:sz w:val="22"/>
          <w:szCs w:val="22"/>
        </w:rPr>
        <w:object w:dxaOrig="7794" w:dyaOrig="2809" w14:anchorId="65F97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40.25pt" o:ole="">
            <v:imagedata r:id="rId14" o:title=""/>
          </v:shape>
          <o:OLEObject Type="Embed" ProgID="Visio.Drawing.11" ShapeID="_x0000_i1025" DrawAspect="Content" ObjectID="_1532051104" r:id="rId15"/>
        </w:object>
      </w:r>
    </w:p>
    <w:p w14:paraId="505486EF" w14:textId="2B9CDDED" w:rsidR="00AF510D" w:rsidRPr="00AF510D" w:rsidRDefault="00AF510D" w:rsidP="00AF510D">
      <w:pPr>
        <w:jc w:val="center"/>
        <w:rPr>
          <w:rFonts w:ascii="Times New Roman"/>
          <w:b/>
          <w:kern w:val="0"/>
          <w:szCs w:val="20"/>
          <w:lang w:val="en-GB" w:eastAsia="en-US"/>
        </w:rPr>
      </w:pPr>
      <w:r w:rsidRPr="00AF510D">
        <w:rPr>
          <w:rFonts w:ascii="Times New Roman"/>
          <w:b/>
          <w:kern w:val="0"/>
          <w:szCs w:val="20"/>
          <w:lang w:val="en-GB" w:eastAsia="en-US"/>
        </w:rPr>
        <w:t xml:space="preserve">Figure </w:t>
      </w:r>
      <w:r w:rsidRPr="00AF510D">
        <w:rPr>
          <w:rFonts w:ascii="Times New Roman"/>
          <w:b/>
          <w:kern w:val="0"/>
          <w:szCs w:val="20"/>
          <w:lang w:val="en-GB" w:eastAsia="en-US"/>
        </w:rPr>
        <w:fldChar w:fldCharType="begin"/>
      </w:r>
      <w:r w:rsidRPr="00AF510D">
        <w:rPr>
          <w:rFonts w:ascii="Times New Roman"/>
          <w:b/>
          <w:kern w:val="0"/>
          <w:szCs w:val="20"/>
          <w:lang w:val="en-GB" w:eastAsia="en-US"/>
        </w:rPr>
        <w:instrText xml:space="preserve"> SEQ Figure \* ARABIC </w:instrText>
      </w:r>
      <w:r w:rsidRPr="00AF510D">
        <w:rPr>
          <w:rFonts w:ascii="Times New Roman"/>
          <w:b/>
          <w:kern w:val="0"/>
          <w:szCs w:val="20"/>
          <w:lang w:val="en-GB" w:eastAsia="en-US"/>
        </w:rPr>
        <w:fldChar w:fldCharType="separate"/>
      </w:r>
      <w:r w:rsidRPr="00AF510D">
        <w:rPr>
          <w:rFonts w:ascii="Times New Roman"/>
          <w:b/>
          <w:kern w:val="0"/>
          <w:szCs w:val="20"/>
          <w:lang w:val="en-GB" w:eastAsia="en-US"/>
        </w:rPr>
        <w:t>2</w:t>
      </w:r>
      <w:r w:rsidRPr="00AF510D">
        <w:rPr>
          <w:rFonts w:ascii="Times New Roman"/>
          <w:b/>
          <w:kern w:val="0"/>
          <w:szCs w:val="20"/>
          <w:lang w:val="en-GB" w:eastAsia="en-US"/>
        </w:rPr>
        <w:fldChar w:fldCharType="end"/>
      </w:r>
      <w:r w:rsidRPr="00AF510D">
        <w:rPr>
          <w:rFonts w:ascii="Times New Roman"/>
          <w:b/>
          <w:kern w:val="0"/>
          <w:szCs w:val="20"/>
          <w:lang w:val="en-GB" w:eastAsia="en-US"/>
        </w:rPr>
        <w:t xml:space="preserve"> Different CP options and numerologies for control and control-less MBSFN </w:t>
      </w:r>
      <w:proofErr w:type="spellStart"/>
      <w:r w:rsidRPr="00AF510D">
        <w:rPr>
          <w:rFonts w:ascii="Times New Roman"/>
          <w:b/>
          <w:kern w:val="0"/>
          <w:szCs w:val="20"/>
          <w:lang w:val="en-GB" w:eastAsia="en-US"/>
        </w:rPr>
        <w:t>subframes</w:t>
      </w:r>
      <w:proofErr w:type="spellEnd"/>
    </w:p>
    <w:p w14:paraId="431A3629" w14:textId="77777777" w:rsidR="00C77C28" w:rsidRDefault="00C77C28" w:rsidP="00AC1A31">
      <w:pPr>
        <w:pStyle w:val="LGTdoc1"/>
        <w:spacing w:beforeLines="0" w:before="120" w:after="220" w:afterAutospacing="0"/>
        <w:rPr>
          <w:b w:val="0"/>
          <w:sz w:val="22"/>
          <w:szCs w:val="22"/>
        </w:rPr>
      </w:pPr>
    </w:p>
    <w:p w14:paraId="202BF58F" w14:textId="2313BD3E" w:rsidR="002E0275" w:rsidRDefault="00C77C28" w:rsidP="00AC1A31">
      <w:pPr>
        <w:pStyle w:val="LGTdoc1"/>
        <w:spacing w:beforeLines="0" w:before="120" w:after="220" w:afterAutospacing="0"/>
        <w:rPr>
          <w:b w:val="0"/>
          <w:sz w:val="22"/>
          <w:szCs w:val="22"/>
        </w:rPr>
      </w:pPr>
      <w:r>
        <w:rPr>
          <w:b w:val="0"/>
          <w:sz w:val="22"/>
          <w:szCs w:val="22"/>
        </w:rPr>
        <w:t xml:space="preserve">Additionally, there may be limited use for control region in </w:t>
      </w:r>
      <w:proofErr w:type="spellStart"/>
      <w:r>
        <w:rPr>
          <w:b w:val="0"/>
          <w:sz w:val="22"/>
          <w:szCs w:val="22"/>
        </w:rPr>
        <w:t>subframes</w:t>
      </w:r>
      <w:proofErr w:type="spellEnd"/>
      <w:r>
        <w:rPr>
          <w:b w:val="0"/>
          <w:sz w:val="22"/>
          <w:szCs w:val="22"/>
        </w:rPr>
        <w:t xml:space="preserve"> with longer CP for standalone and </w:t>
      </w:r>
      <w:proofErr w:type="spellStart"/>
      <w:r>
        <w:rPr>
          <w:b w:val="0"/>
          <w:sz w:val="22"/>
          <w:szCs w:val="22"/>
        </w:rPr>
        <w:t>SCell</w:t>
      </w:r>
      <w:proofErr w:type="spellEnd"/>
      <w:r>
        <w:rPr>
          <w:b w:val="0"/>
          <w:sz w:val="22"/>
          <w:szCs w:val="22"/>
        </w:rPr>
        <w:t xml:space="preserve"> MBSFN cases. Thus, RAN1 should prioritize the definition of longer CP for the case of no control region.</w:t>
      </w:r>
    </w:p>
    <w:p w14:paraId="20EDD34E" w14:textId="77777777" w:rsidR="004B5820" w:rsidRPr="002F1E53" w:rsidRDefault="004B5820" w:rsidP="00AC1A31">
      <w:pPr>
        <w:pStyle w:val="LGTdoc1"/>
        <w:spacing w:beforeLines="0" w:before="120" w:after="220" w:afterAutospacing="0"/>
        <w:rPr>
          <w:sz w:val="22"/>
          <w:szCs w:val="22"/>
          <w:highlight w:val="yellow"/>
          <w:u w:val="single"/>
        </w:rPr>
      </w:pPr>
    </w:p>
    <w:p w14:paraId="296332F3" w14:textId="3ED1B6FB" w:rsidR="00AC1A31" w:rsidRPr="004B5820" w:rsidRDefault="004B5820" w:rsidP="00AC1A31">
      <w:pPr>
        <w:pStyle w:val="LGTdoc1"/>
        <w:spacing w:beforeLines="0" w:before="120" w:after="220" w:afterAutospacing="0"/>
        <w:rPr>
          <w:sz w:val="22"/>
          <w:szCs w:val="22"/>
        </w:rPr>
      </w:pPr>
      <w:r w:rsidRPr="00DA0154">
        <w:rPr>
          <w:sz w:val="22"/>
          <w:szCs w:val="22"/>
          <w:u w:val="single"/>
        </w:rPr>
        <w:t xml:space="preserve">Observation 1: </w:t>
      </w:r>
      <w:r w:rsidRPr="00DA0154">
        <w:rPr>
          <w:sz w:val="22"/>
          <w:szCs w:val="22"/>
        </w:rPr>
        <w:t>Supporting longer CP and control region simultaneously is possible by redefining the interaction between control and MBSFN region (e.g. by</w:t>
      </w:r>
      <w:r w:rsidR="00DA0154" w:rsidRPr="00DA0154">
        <w:rPr>
          <w:sz w:val="22"/>
          <w:szCs w:val="22"/>
        </w:rPr>
        <w:t xml:space="preserve"> puncturing the CP by the control region for long CP values</w:t>
      </w:r>
      <w:r w:rsidRPr="00DA0154">
        <w:rPr>
          <w:sz w:val="22"/>
          <w:szCs w:val="22"/>
        </w:rPr>
        <w:t>).</w:t>
      </w:r>
    </w:p>
    <w:p w14:paraId="5EC79550" w14:textId="7FD1625B" w:rsidR="004B5820" w:rsidRPr="004B5820" w:rsidRDefault="004B5820" w:rsidP="00AC1A31">
      <w:pPr>
        <w:pStyle w:val="LGTdoc1"/>
        <w:spacing w:beforeLines="0" w:before="120" w:after="220" w:afterAutospacing="0"/>
        <w:rPr>
          <w:sz w:val="22"/>
          <w:szCs w:val="22"/>
        </w:rPr>
      </w:pPr>
      <w:r w:rsidRPr="004B5820">
        <w:rPr>
          <w:sz w:val="22"/>
          <w:szCs w:val="22"/>
          <w:u w:val="single"/>
        </w:rPr>
        <w:t>Observation 2:</w:t>
      </w:r>
      <w:r w:rsidRPr="004B5820">
        <w:rPr>
          <w:sz w:val="22"/>
          <w:szCs w:val="22"/>
        </w:rPr>
        <w:t xml:space="preserve"> The</w:t>
      </w:r>
      <w:r w:rsidR="002F1E53">
        <w:rPr>
          <w:sz w:val="22"/>
          <w:szCs w:val="22"/>
        </w:rPr>
        <w:t>re may be limited use for</w:t>
      </w:r>
      <w:r w:rsidRPr="004B5820">
        <w:rPr>
          <w:sz w:val="22"/>
          <w:szCs w:val="22"/>
        </w:rPr>
        <w:t xml:space="preserve"> control region in </w:t>
      </w:r>
      <w:proofErr w:type="spellStart"/>
      <w:r w:rsidR="002F1E53">
        <w:rPr>
          <w:sz w:val="22"/>
          <w:szCs w:val="22"/>
        </w:rPr>
        <w:t>subframes</w:t>
      </w:r>
      <w:proofErr w:type="spellEnd"/>
      <w:r w:rsidR="002F1E53">
        <w:rPr>
          <w:sz w:val="22"/>
          <w:szCs w:val="22"/>
        </w:rPr>
        <w:t xml:space="preserve"> with longer CP </w:t>
      </w:r>
      <w:r w:rsidRPr="004B5820">
        <w:rPr>
          <w:sz w:val="22"/>
          <w:szCs w:val="22"/>
        </w:rPr>
        <w:t xml:space="preserve">in the standalone and </w:t>
      </w:r>
      <w:proofErr w:type="spellStart"/>
      <w:r w:rsidRPr="004B5820">
        <w:rPr>
          <w:sz w:val="22"/>
          <w:szCs w:val="22"/>
        </w:rPr>
        <w:t>SCell</w:t>
      </w:r>
      <w:proofErr w:type="spellEnd"/>
      <w:r w:rsidRPr="004B5820">
        <w:rPr>
          <w:sz w:val="22"/>
          <w:szCs w:val="22"/>
        </w:rPr>
        <w:t xml:space="preserve"> MBSFN cases.</w:t>
      </w:r>
    </w:p>
    <w:p w14:paraId="612EEEBD" w14:textId="6C75F46C" w:rsidR="004B5820" w:rsidRPr="004B5820" w:rsidRDefault="004B5820" w:rsidP="00AC1A31">
      <w:pPr>
        <w:pStyle w:val="LGTdoc1"/>
        <w:spacing w:beforeLines="0" w:before="120" w:after="220" w:afterAutospacing="0"/>
        <w:rPr>
          <w:sz w:val="22"/>
          <w:szCs w:val="22"/>
          <w:u w:val="single"/>
        </w:rPr>
      </w:pPr>
      <w:r w:rsidRPr="004B5820">
        <w:rPr>
          <w:sz w:val="22"/>
          <w:szCs w:val="22"/>
          <w:u w:val="single"/>
        </w:rPr>
        <w:t xml:space="preserve">Proposal </w:t>
      </w:r>
      <w:r>
        <w:rPr>
          <w:sz w:val="22"/>
          <w:szCs w:val="22"/>
          <w:u w:val="single"/>
        </w:rPr>
        <w:t>2</w:t>
      </w:r>
      <w:r w:rsidRPr="004B5820">
        <w:rPr>
          <w:sz w:val="22"/>
          <w:szCs w:val="22"/>
          <w:u w:val="single"/>
        </w:rPr>
        <w:t>:</w:t>
      </w:r>
      <w:r>
        <w:rPr>
          <w:b w:val="0"/>
          <w:sz w:val="22"/>
          <w:szCs w:val="22"/>
        </w:rPr>
        <w:t xml:space="preserve"> </w:t>
      </w:r>
      <w:r w:rsidRPr="004B5820">
        <w:rPr>
          <w:sz w:val="22"/>
          <w:szCs w:val="22"/>
        </w:rPr>
        <w:t>Prioritize</w:t>
      </w:r>
      <w:r>
        <w:rPr>
          <w:sz w:val="22"/>
          <w:szCs w:val="22"/>
        </w:rPr>
        <w:t xml:space="preserve"> the definition of new numerologies with longer CP for the case of no control region.</w:t>
      </w:r>
      <w:r w:rsidR="002F1E53">
        <w:rPr>
          <w:sz w:val="22"/>
          <w:szCs w:val="22"/>
        </w:rPr>
        <w:t xml:space="preserve"> If control region is desired, it can puncture the CP</w:t>
      </w:r>
      <w:r w:rsidR="00DA0154">
        <w:rPr>
          <w:sz w:val="22"/>
          <w:szCs w:val="22"/>
        </w:rPr>
        <w:t>.</w:t>
      </w:r>
    </w:p>
    <w:p w14:paraId="1874B118" w14:textId="414DC16B" w:rsidR="00E35ECD" w:rsidRDefault="00E35ECD" w:rsidP="00E35EC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Control region in non-MBSFN </w:t>
      </w:r>
      <w:proofErr w:type="spellStart"/>
      <w:r>
        <w:rPr>
          <w:rFonts w:ascii="Arial" w:hAnsi="Arial" w:cs="Arial"/>
          <w:lang w:val="en-US"/>
        </w:rPr>
        <w:t>subframes</w:t>
      </w:r>
      <w:proofErr w:type="spellEnd"/>
    </w:p>
    <w:p w14:paraId="261FB1BB" w14:textId="6527DAF9" w:rsidR="00AE22BC" w:rsidRDefault="00E35ECD" w:rsidP="005300F0">
      <w:pPr>
        <w:pStyle w:val="LGTdoc1"/>
        <w:spacing w:beforeLines="0" w:before="120" w:after="220" w:afterAutospacing="0"/>
        <w:rPr>
          <w:sz w:val="22"/>
          <w:szCs w:val="22"/>
          <w:u w:val="single"/>
          <w:lang w:val="en-US"/>
        </w:rPr>
      </w:pPr>
      <w:r>
        <w:rPr>
          <w:b w:val="0"/>
          <w:sz w:val="22"/>
          <w:szCs w:val="22"/>
        </w:rPr>
        <w:t xml:space="preserve">With the removal of the control region from MBSFN </w:t>
      </w:r>
      <w:proofErr w:type="spellStart"/>
      <w:r>
        <w:rPr>
          <w:b w:val="0"/>
          <w:sz w:val="22"/>
          <w:szCs w:val="22"/>
        </w:rPr>
        <w:t>subframes</w:t>
      </w:r>
      <w:proofErr w:type="spellEnd"/>
      <w:r>
        <w:rPr>
          <w:b w:val="0"/>
          <w:sz w:val="22"/>
          <w:szCs w:val="22"/>
        </w:rPr>
        <w:t xml:space="preserve">, it could be argued that the control region can be removed from non-MBSFN </w:t>
      </w:r>
      <w:proofErr w:type="spellStart"/>
      <w:r>
        <w:rPr>
          <w:b w:val="0"/>
          <w:sz w:val="22"/>
          <w:szCs w:val="22"/>
        </w:rPr>
        <w:t>subframes</w:t>
      </w:r>
      <w:proofErr w:type="spellEnd"/>
      <w:r>
        <w:rPr>
          <w:b w:val="0"/>
          <w:sz w:val="22"/>
          <w:szCs w:val="22"/>
        </w:rPr>
        <w:t xml:space="preserve"> with additional (but small) effort. In the current WID </w:t>
      </w:r>
    </w:p>
    <w:p w14:paraId="51D94D3B" w14:textId="1A6F7C7C" w:rsidR="00E35ECD" w:rsidRDefault="00E35ECD" w:rsidP="00E35ECD">
      <w:pPr>
        <w:pStyle w:val="LGTdoc1"/>
        <w:spacing w:beforeLines="0" w:before="120" w:after="220" w:afterAutospacing="0"/>
        <w:ind w:left="1350" w:hanging="180"/>
        <w:rPr>
          <w:b w:val="0"/>
          <w:sz w:val="22"/>
          <w:szCs w:val="22"/>
        </w:rPr>
      </w:pPr>
      <w:r w:rsidRPr="00E35ECD">
        <w:rPr>
          <w:b w:val="0"/>
          <w:sz w:val="22"/>
          <w:szCs w:val="22"/>
        </w:rPr>
        <w:t>c.</w:t>
      </w:r>
      <w:r w:rsidRPr="00E35ECD">
        <w:rPr>
          <w:b w:val="0"/>
          <w:sz w:val="22"/>
          <w:szCs w:val="22"/>
        </w:rPr>
        <w:tab/>
        <w:t xml:space="preserve">Specify means of configuring MBSFN </w:t>
      </w:r>
      <w:proofErr w:type="spellStart"/>
      <w:r w:rsidRPr="00E35ECD">
        <w:rPr>
          <w:b w:val="0"/>
          <w:sz w:val="22"/>
          <w:szCs w:val="22"/>
        </w:rPr>
        <w:t>subframes</w:t>
      </w:r>
      <w:proofErr w:type="spellEnd"/>
      <w:r w:rsidRPr="00E35ECD">
        <w:rPr>
          <w:b w:val="0"/>
          <w:sz w:val="22"/>
          <w:szCs w:val="22"/>
        </w:rPr>
        <w:t xml:space="preserve"> without a unicast control region and cell-specific reference signals. (RAN1, RAN2)</w:t>
      </w:r>
    </w:p>
    <w:p w14:paraId="62BCF34F" w14:textId="06318DBF" w:rsidR="00E35ECD" w:rsidRDefault="00E35ECD" w:rsidP="00E35ECD">
      <w:pPr>
        <w:pStyle w:val="LGTdoc1"/>
        <w:tabs>
          <w:tab w:val="left" w:pos="1170"/>
        </w:tabs>
        <w:spacing w:beforeLines="0" w:before="120" w:after="220" w:afterAutospacing="0"/>
        <w:rPr>
          <w:b w:val="0"/>
          <w:sz w:val="22"/>
          <w:szCs w:val="22"/>
        </w:rPr>
      </w:pPr>
      <w:r>
        <w:rPr>
          <w:b w:val="0"/>
          <w:sz w:val="22"/>
          <w:szCs w:val="22"/>
        </w:rPr>
        <w:t xml:space="preserve">Thus, changing the control region in non-MBSFN </w:t>
      </w:r>
      <w:proofErr w:type="spellStart"/>
      <w:r>
        <w:rPr>
          <w:b w:val="0"/>
          <w:sz w:val="22"/>
          <w:szCs w:val="22"/>
        </w:rPr>
        <w:t>subframes</w:t>
      </w:r>
      <w:proofErr w:type="spellEnd"/>
      <w:r>
        <w:rPr>
          <w:b w:val="0"/>
          <w:sz w:val="22"/>
          <w:szCs w:val="22"/>
        </w:rPr>
        <w:t xml:space="preserve"> is out of the scope of the work item, and can be considered in future LTE work items.</w:t>
      </w:r>
    </w:p>
    <w:p w14:paraId="30E2C1CC" w14:textId="5C5B4FBF" w:rsidR="00E35ECD" w:rsidRPr="00E35ECD" w:rsidRDefault="00E35ECD" w:rsidP="00E35ECD">
      <w:pPr>
        <w:pStyle w:val="LGTdoc1"/>
        <w:tabs>
          <w:tab w:val="left" w:pos="1170"/>
        </w:tabs>
        <w:spacing w:beforeLines="0" w:before="120" w:after="220" w:afterAutospacing="0"/>
        <w:rPr>
          <w:sz w:val="22"/>
          <w:szCs w:val="22"/>
        </w:rPr>
      </w:pPr>
      <w:r w:rsidRPr="00E35ECD">
        <w:rPr>
          <w:sz w:val="22"/>
          <w:szCs w:val="22"/>
          <w:u w:val="single"/>
        </w:rPr>
        <w:t>Proposal 3:</w:t>
      </w:r>
      <w:r>
        <w:rPr>
          <w:sz w:val="22"/>
          <w:szCs w:val="22"/>
        </w:rPr>
        <w:t xml:space="preserve"> Do not introduce any change for the control region in non-MBSFN </w:t>
      </w:r>
      <w:proofErr w:type="spellStart"/>
      <w:r>
        <w:rPr>
          <w:sz w:val="22"/>
          <w:szCs w:val="22"/>
        </w:rPr>
        <w:t>subframes</w:t>
      </w:r>
      <w:proofErr w:type="spellEnd"/>
      <w:r>
        <w:rPr>
          <w:sz w:val="22"/>
          <w:szCs w:val="22"/>
        </w:rPr>
        <w:t xml:space="preserve">. </w:t>
      </w:r>
    </w:p>
    <w:p w14:paraId="22AA2E56" w14:textId="48B557A8" w:rsidR="0031486A" w:rsidRDefault="0031486A" w:rsidP="004B582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49E53879" w14:textId="77777777" w:rsidR="004B5820" w:rsidRPr="004B5820" w:rsidRDefault="004B5820" w:rsidP="004B5820">
      <w:pPr>
        <w:pStyle w:val="LGTdoc1"/>
        <w:spacing w:beforeLines="0" w:before="120" w:after="220" w:afterAutospacing="0"/>
        <w:rPr>
          <w:sz w:val="22"/>
          <w:szCs w:val="22"/>
        </w:rPr>
      </w:pPr>
      <w:r w:rsidRPr="004B5820">
        <w:rPr>
          <w:sz w:val="22"/>
          <w:szCs w:val="22"/>
          <w:u w:val="single"/>
        </w:rPr>
        <w:t xml:space="preserve">Proposal 1: </w:t>
      </w:r>
      <w:r w:rsidRPr="004B5820">
        <w:rPr>
          <w:sz w:val="22"/>
          <w:szCs w:val="22"/>
        </w:rPr>
        <w:t xml:space="preserve">The presence of control region is jointly encoded with the MBSFN </w:t>
      </w:r>
      <w:proofErr w:type="spellStart"/>
      <w:r w:rsidRPr="004B5820">
        <w:rPr>
          <w:sz w:val="22"/>
          <w:szCs w:val="22"/>
        </w:rPr>
        <w:t>subframe</w:t>
      </w:r>
      <w:proofErr w:type="spellEnd"/>
      <w:r w:rsidRPr="004B5820">
        <w:rPr>
          <w:sz w:val="22"/>
          <w:szCs w:val="22"/>
        </w:rPr>
        <w:t xml:space="preserve"> configuration.</w:t>
      </w:r>
    </w:p>
    <w:p w14:paraId="14ADA6B0" w14:textId="605F8CD6" w:rsidR="00DA0154" w:rsidRPr="004B5820" w:rsidRDefault="00DA0154" w:rsidP="00DA0154">
      <w:pPr>
        <w:pStyle w:val="LGTdoc1"/>
        <w:spacing w:beforeLines="0" w:before="120" w:after="220" w:afterAutospacing="0"/>
        <w:rPr>
          <w:sz w:val="22"/>
          <w:szCs w:val="22"/>
        </w:rPr>
      </w:pPr>
      <w:r w:rsidRPr="00DA0154">
        <w:rPr>
          <w:sz w:val="22"/>
          <w:szCs w:val="22"/>
          <w:u w:val="single"/>
        </w:rPr>
        <w:t xml:space="preserve">Observation 1: </w:t>
      </w:r>
      <w:r w:rsidRPr="00DA0154">
        <w:rPr>
          <w:sz w:val="22"/>
          <w:szCs w:val="22"/>
        </w:rPr>
        <w:t>Supporting longer CP and control region simultaneously is possible by redefining the interaction between control and MBSFN region (e.g. by puncturing the CP by the control region for long CP values).</w:t>
      </w:r>
    </w:p>
    <w:p w14:paraId="64E06528" w14:textId="77777777" w:rsidR="00DA0154" w:rsidRPr="004B5820" w:rsidRDefault="00DA0154" w:rsidP="00DA0154">
      <w:pPr>
        <w:pStyle w:val="LGTdoc1"/>
        <w:spacing w:beforeLines="0" w:before="120" w:after="220" w:afterAutospacing="0"/>
        <w:rPr>
          <w:sz w:val="22"/>
          <w:szCs w:val="22"/>
        </w:rPr>
      </w:pPr>
      <w:r w:rsidRPr="004B5820">
        <w:rPr>
          <w:sz w:val="22"/>
          <w:szCs w:val="22"/>
          <w:u w:val="single"/>
        </w:rPr>
        <w:t>Observation 2:</w:t>
      </w:r>
      <w:r w:rsidRPr="004B5820">
        <w:rPr>
          <w:sz w:val="22"/>
          <w:szCs w:val="22"/>
        </w:rPr>
        <w:t xml:space="preserve"> The</w:t>
      </w:r>
      <w:r>
        <w:rPr>
          <w:sz w:val="22"/>
          <w:szCs w:val="22"/>
        </w:rPr>
        <w:t>re may be limited use for</w:t>
      </w:r>
      <w:r w:rsidRPr="004B5820">
        <w:rPr>
          <w:sz w:val="22"/>
          <w:szCs w:val="22"/>
        </w:rPr>
        <w:t xml:space="preserve"> control region in </w:t>
      </w:r>
      <w:proofErr w:type="spellStart"/>
      <w:r>
        <w:rPr>
          <w:sz w:val="22"/>
          <w:szCs w:val="22"/>
        </w:rPr>
        <w:t>subframes</w:t>
      </w:r>
      <w:proofErr w:type="spellEnd"/>
      <w:r>
        <w:rPr>
          <w:sz w:val="22"/>
          <w:szCs w:val="22"/>
        </w:rPr>
        <w:t xml:space="preserve"> with longer CP </w:t>
      </w:r>
      <w:r w:rsidRPr="004B5820">
        <w:rPr>
          <w:sz w:val="22"/>
          <w:szCs w:val="22"/>
        </w:rPr>
        <w:t xml:space="preserve">in the standalone and </w:t>
      </w:r>
      <w:proofErr w:type="spellStart"/>
      <w:r w:rsidRPr="004B5820">
        <w:rPr>
          <w:sz w:val="22"/>
          <w:szCs w:val="22"/>
        </w:rPr>
        <w:t>SCell</w:t>
      </w:r>
      <w:proofErr w:type="spellEnd"/>
      <w:r w:rsidRPr="004B5820">
        <w:rPr>
          <w:sz w:val="22"/>
          <w:szCs w:val="22"/>
        </w:rPr>
        <w:t xml:space="preserve"> MBSFN cases.</w:t>
      </w:r>
    </w:p>
    <w:p w14:paraId="0F95AAB7" w14:textId="77777777" w:rsidR="00DA0154" w:rsidRDefault="00DA0154" w:rsidP="00DA0154">
      <w:pPr>
        <w:pStyle w:val="LGTdoc1"/>
        <w:spacing w:beforeLines="0" w:before="120" w:after="220" w:afterAutospacing="0"/>
        <w:rPr>
          <w:sz w:val="22"/>
          <w:szCs w:val="22"/>
        </w:rPr>
      </w:pPr>
      <w:r w:rsidRPr="004B5820">
        <w:rPr>
          <w:sz w:val="22"/>
          <w:szCs w:val="22"/>
          <w:u w:val="single"/>
        </w:rPr>
        <w:t xml:space="preserve">Proposal </w:t>
      </w:r>
      <w:r>
        <w:rPr>
          <w:sz w:val="22"/>
          <w:szCs w:val="22"/>
          <w:u w:val="single"/>
        </w:rPr>
        <w:t>2</w:t>
      </w:r>
      <w:r w:rsidRPr="004B5820">
        <w:rPr>
          <w:sz w:val="22"/>
          <w:szCs w:val="22"/>
          <w:u w:val="single"/>
        </w:rPr>
        <w:t>:</w:t>
      </w:r>
      <w:r>
        <w:rPr>
          <w:b w:val="0"/>
          <w:sz w:val="22"/>
          <w:szCs w:val="22"/>
        </w:rPr>
        <w:t xml:space="preserve"> </w:t>
      </w:r>
      <w:r w:rsidRPr="004B5820">
        <w:rPr>
          <w:sz w:val="22"/>
          <w:szCs w:val="22"/>
        </w:rPr>
        <w:t>Prioritize</w:t>
      </w:r>
      <w:r>
        <w:rPr>
          <w:sz w:val="22"/>
          <w:szCs w:val="22"/>
        </w:rPr>
        <w:t xml:space="preserve"> the definition of new numerologies with longer CP for the case of no control region. If control region is desired, it can puncture the CP.</w:t>
      </w:r>
    </w:p>
    <w:p w14:paraId="1E15880D" w14:textId="3B1124C1" w:rsidR="00E35ECD" w:rsidRPr="004B5820" w:rsidRDefault="00E35ECD" w:rsidP="00DA0154">
      <w:pPr>
        <w:pStyle w:val="LGTdoc1"/>
        <w:spacing w:beforeLines="0" w:before="120" w:after="220" w:afterAutospacing="0"/>
        <w:rPr>
          <w:sz w:val="22"/>
          <w:szCs w:val="22"/>
          <w:u w:val="single"/>
        </w:rPr>
      </w:pPr>
      <w:r w:rsidRPr="00E35ECD">
        <w:rPr>
          <w:sz w:val="22"/>
          <w:szCs w:val="22"/>
          <w:u w:val="single"/>
        </w:rPr>
        <w:lastRenderedPageBreak/>
        <w:t>Proposal 3:</w:t>
      </w:r>
      <w:r>
        <w:rPr>
          <w:sz w:val="22"/>
          <w:szCs w:val="22"/>
        </w:rPr>
        <w:t xml:space="preserve"> Do not introduce any change for the control region in non-MBSFN </w:t>
      </w:r>
      <w:proofErr w:type="spellStart"/>
      <w:r>
        <w:rPr>
          <w:sz w:val="22"/>
          <w:szCs w:val="22"/>
        </w:rPr>
        <w:t>subframes</w:t>
      </w:r>
      <w:proofErr w:type="spellEnd"/>
      <w:r>
        <w:rPr>
          <w:sz w:val="22"/>
          <w:szCs w:val="22"/>
        </w:rPr>
        <w:t>.</w:t>
      </w:r>
    </w:p>
    <w:p w14:paraId="5052A127" w14:textId="77777777" w:rsidR="00863371" w:rsidRDefault="00863371"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63FF5BCC"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Qualcomm Inc. Nokia Networks, EBU</w:t>
      </w:r>
      <w:proofErr w:type="gramStart"/>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RPr="002B7F75"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B8FE7" w14:textId="77777777" w:rsidR="002B4080" w:rsidRDefault="002B4080">
      <w:r>
        <w:separator/>
      </w:r>
    </w:p>
  </w:endnote>
  <w:endnote w:type="continuationSeparator" w:id="0">
    <w:p w14:paraId="4E36491F" w14:textId="77777777" w:rsidR="002B4080" w:rsidRDefault="002B4080">
      <w:r>
        <w:continuationSeparator/>
      </w:r>
    </w:p>
  </w:endnote>
  <w:endnote w:type="continuationNotice" w:id="1">
    <w:p w14:paraId="7F6DACB9" w14:textId="77777777" w:rsidR="002B4080" w:rsidRDefault="002B4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43A3">
      <w:rPr>
        <w:rStyle w:val="PageNumber"/>
        <w:noProof/>
      </w:rPr>
      <w:t>3</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F070C" w14:textId="77777777" w:rsidR="002B4080" w:rsidRDefault="002B4080">
      <w:r>
        <w:separator/>
      </w:r>
    </w:p>
  </w:footnote>
  <w:footnote w:type="continuationSeparator" w:id="0">
    <w:p w14:paraId="3162FBA5" w14:textId="77777777" w:rsidR="002B4080" w:rsidRDefault="002B4080">
      <w:r>
        <w:continuationSeparator/>
      </w:r>
    </w:p>
  </w:footnote>
  <w:footnote w:type="continuationNotice" w:id="1">
    <w:p w14:paraId="2695D346" w14:textId="77777777" w:rsidR="002B4080" w:rsidRDefault="002B40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B6391"/>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645368"/>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6E32FA8"/>
    <w:multiLevelType w:val="hybridMultilevel"/>
    <w:tmpl w:val="0982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8"/>
  </w:num>
  <w:num w:numId="4">
    <w:abstractNumId w:val="46"/>
  </w:num>
  <w:num w:numId="5">
    <w:abstractNumId w:val="47"/>
  </w:num>
  <w:num w:numId="6">
    <w:abstractNumId w:val="34"/>
  </w:num>
  <w:num w:numId="7">
    <w:abstractNumId w:val="9"/>
  </w:num>
  <w:num w:numId="8">
    <w:abstractNumId w:val="2"/>
  </w:num>
  <w:num w:numId="9">
    <w:abstractNumId w:val="36"/>
  </w:num>
  <w:num w:numId="10">
    <w:abstractNumId w:val="22"/>
  </w:num>
  <w:num w:numId="11">
    <w:abstractNumId w:val="26"/>
  </w:num>
  <w:num w:numId="12">
    <w:abstractNumId w:val="8"/>
  </w:num>
  <w:num w:numId="13">
    <w:abstractNumId w:val="41"/>
  </w:num>
  <w:num w:numId="14">
    <w:abstractNumId w:val="27"/>
  </w:num>
  <w:num w:numId="15">
    <w:abstractNumId w:val="20"/>
  </w:num>
  <w:num w:numId="16">
    <w:abstractNumId w:val="37"/>
  </w:num>
  <w:num w:numId="17">
    <w:abstractNumId w:val="32"/>
  </w:num>
  <w:num w:numId="18">
    <w:abstractNumId w:val="25"/>
  </w:num>
  <w:num w:numId="19">
    <w:abstractNumId w:val="13"/>
  </w:num>
  <w:num w:numId="20">
    <w:abstractNumId w:val="15"/>
  </w:num>
  <w:num w:numId="21">
    <w:abstractNumId w:val="33"/>
  </w:num>
  <w:num w:numId="22">
    <w:abstractNumId w:val="3"/>
  </w:num>
  <w:num w:numId="23">
    <w:abstractNumId w:val="24"/>
  </w:num>
  <w:num w:numId="24">
    <w:abstractNumId w:val="29"/>
  </w:num>
  <w:num w:numId="25">
    <w:abstractNumId w:val="35"/>
  </w:num>
  <w:num w:numId="26">
    <w:abstractNumId w:val="7"/>
  </w:num>
  <w:num w:numId="27">
    <w:abstractNumId w:val="1"/>
  </w:num>
  <w:num w:numId="28">
    <w:abstractNumId w:val="38"/>
  </w:num>
  <w:num w:numId="29">
    <w:abstractNumId w:val="6"/>
  </w:num>
  <w:num w:numId="30">
    <w:abstractNumId w:val="42"/>
  </w:num>
  <w:num w:numId="31">
    <w:abstractNumId w:val="5"/>
  </w:num>
  <w:num w:numId="32">
    <w:abstractNumId w:val="23"/>
  </w:num>
  <w:num w:numId="33">
    <w:abstractNumId w:val="19"/>
  </w:num>
  <w:num w:numId="34">
    <w:abstractNumId w:val="44"/>
  </w:num>
  <w:num w:numId="35">
    <w:abstractNumId w:val="30"/>
  </w:num>
  <w:num w:numId="36">
    <w:abstractNumId w:val="17"/>
  </w:num>
  <w:num w:numId="37">
    <w:abstractNumId w:val="45"/>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3"/>
  </w:num>
  <w:num w:numId="45">
    <w:abstractNumId w:val="14"/>
  </w:num>
  <w:num w:numId="46">
    <w:abstractNumId w:val="31"/>
  </w:num>
  <w:num w:numId="47">
    <w:abstractNumId w:val="39"/>
  </w:num>
  <w:num w:numId="48">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080"/>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A8D"/>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A3"/>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CD"/>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382249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3004054">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128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707467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D2379B1E-8BDC-4C4B-B238-D98BA5850A1C}">
  <ds:schemaRefs>
    <ds:schemaRef ds:uri="http://schemas.openxmlformats.org/officeDocument/2006/bibliography"/>
  </ds:schemaRefs>
</ds:datastoreItem>
</file>

<file path=customXml/itemProps7.xml><?xml version="1.0" encoding="utf-8"?>
<ds:datastoreItem xmlns:ds="http://schemas.openxmlformats.org/officeDocument/2006/customXml" ds:itemID="{0661A816-67FB-4984-9657-349DD1C7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697</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11</cp:revision>
  <cp:lastPrinted>2010-08-13T21:54:00Z</cp:lastPrinted>
  <dcterms:created xsi:type="dcterms:W3CDTF">2016-05-11T01:18:00Z</dcterms:created>
  <dcterms:modified xsi:type="dcterms:W3CDTF">2016-08-07T11:59:00Z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